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9EC0" w14:textId="77777777" w:rsidR="00224B94" w:rsidRDefault="00017177">
      <w:pPr>
        <w:pStyle w:val="Szvegtrzs"/>
        <w:spacing w:before="240" w:after="480" w:line="240" w:lineRule="auto"/>
        <w:jc w:val="center"/>
        <w:rPr>
          <w:b/>
          <w:bCs/>
        </w:rPr>
      </w:pPr>
      <w:r>
        <w:rPr>
          <w:b/>
          <w:bCs/>
        </w:rPr>
        <w:t>Bodolyabér Község Önkormányzata Képviselő-testületének .../.... (...) önkormányzati rendelete</w:t>
      </w:r>
    </w:p>
    <w:p w14:paraId="2ADFEA8B" w14:textId="77777777" w:rsidR="00224B94" w:rsidRDefault="00017177">
      <w:pPr>
        <w:pStyle w:val="Szvegtrzs"/>
        <w:spacing w:before="240" w:after="480" w:line="240" w:lineRule="auto"/>
        <w:jc w:val="center"/>
        <w:rPr>
          <w:b/>
          <w:bCs/>
        </w:rPr>
      </w:pPr>
      <w:r>
        <w:rPr>
          <w:b/>
          <w:bCs/>
        </w:rPr>
        <w:t xml:space="preserve">a helyi szociális gondoskodásról szóló 1/2024.(I.30.) </w:t>
      </w:r>
      <w:proofErr w:type="spellStart"/>
      <w:r>
        <w:rPr>
          <w:b/>
          <w:bCs/>
        </w:rPr>
        <w:t>önkormányzti</w:t>
      </w:r>
      <w:proofErr w:type="spellEnd"/>
      <w:r>
        <w:rPr>
          <w:b/>
          <w:bCs/>
        </w:rPr>
        <w:t xml:space="preserve"> rendelet módosításáról</w:t>
      </w:r>
    </w:p>
    <w:p w14:paraId="6B359236" w14:textId="77777777" w:rsidR="00224B94" w:rsidRDefault="00017177">
      <w:pPr>
        <w:pStyle w:val="Szvegtrzs"/>
        <w:spacing w:after="0" w:line="240" w:lineRule="auto"/>
        <w:jc w:val="both"/>
      </w:pPr>
      <w:r>
        <w:t>[1] A szabályozás célja, hogy módosítsa a képviselő-testület Liget településen nyújtandó települési támogatások körét.</w:t>
      </w:r>
    </w:p>
    <w:p w14:paraId="013718E8" w14:textId="77777777" w:rsidR="00224B94" w:rsidRDefault="00017177">
      <w:pPr>
        <w:pStyle w:val="Szvegtrzs"/>
        <w:spacing w:before="120" w:after="0" w:line="240" w:lineRule="auto"/>
        <w:jc w:val="both"/>
      </w:pPr>
      <w:r>
        <w:t>[2] Bodolyabér Község Önkormányzat Képviselő-testülete az Alaptörvény 32. cikk (1) bekezdés a) pontjában foglalt feladatkörében eljárva, a szociális igazgatásról szóló, többször módosított 1993. évi III. tv. (továbbiakban: Szt.) 1. §. (2) bekezdés figyelembevételével, 92. § (2) bekezdésében valamint a 132. § (4) bekezdésében kapott felhatalmazás alapján, a következő rendeletet alkotja:</w:t>
      </w:r>
    </w:p>
    <w:p w14:paraId="39C3365A" w14:textId="77777777" w:rsidR="00224B94" w:rsidRDefault="00017177">
      <w:pPr>
        <w:pStyle w:val="Szvegtrzs"/>
        <w:spacing w:before="240" w:after="240" w:line="240" w:lineRule="auto"/>
        <w:jc w:val="center"/>
        <w:rPr>
          <w:b/>
          <w:bCs/>
        </w:rPr>
      </w:pPr>
      <w:r>
        <w:rPr>
          <w:b/>
          <w:bCs/>
        </w:rPr>
        <w:t>1. §</w:t>
      </w:r>
    </w:p>
    <w:p w14:paraId="1108EBC6" w14:textId="77777777" w:rsidR="00224B94" w:rsidRDefault="00017177">
      <w:pPr>
        <w:pStyle w:val="Szvegtrzs"/>
        <w:spacing w:after="0" w:line="240" w:lineRule="auto"/>
        <w:jc w:val="both"/>
      </w:pPr>
      <w:r>
        <w:t>A helyi szociális gondoskodásról szóló 1/2024. (I. 30.) önkormányzati rendelet 9. § f) pontja helyébe a következő rendelkezés lép:</w:t>
      </w:r>
    </w:p>
    <w:p w14:paraId="1E49B80A" w14:textId="77777777" w:rsidR="00224B94" w:rsidRDefault="00017177">
      <w:pPr>
        <w:pStyle w:val="Szvegtrzs"/>
        <w:spacing w:before="240" w:after="0" w:line="240" w:lineRule="auto"/>
        <w:jc w:val="both"/>
        <w:rPr>
          <w:i/>
          <w:iCs/>
        </w:rPr>
      </w:pPr>
      <w:r>
        <w:rPr>
          <w:i/>
          <w:iCs/>
        </w:rPr>
        <w:t>(A rendeletben szabályozott ellátási formák:)</w:t>
      </w:r>
    </w:p>
    <w:p w14:paraId="0D261873" w14:textId="77777777" w:rsidR="00224B94" w:rsidRDefault="00017177">
      <w:pPr>
        <w:pStyle w:val="Szvegtrzs"/>
        <w:spacing w:after="240" w:line="240" w:lineRule="auto"/>
        <w:ind w:left="580" w:hanging="560"/>
        <w:jc w:val="both"/>
      </w:pPr>
      <w:r>
        <w:t>„</w:t>
      </w:r>
      <w:r>
        <w:rPr>
          <w:i/>
          <w:iCs/>
        </w:rPr>
        <w:t>f)</w:t>
      </w:r>
      <w:r>
        <w:tab/>
        <w:t>ünnepi települési támogatás,”</w:t>
      </w:r>
    </w:p>
    <w:p w14:paraId="0984ABD4" w14:textId="77777777" w:rsidR="00224B94" w:rsidRDefault="00017177">
      <w:pPr>
        <w:pStyle w:val="Szvegtrzs"/>
        <w:spacing w:before="240" w:after="240" w:line="240" w:lineRule="auto"/>
        <w:jc w:val="center"/>
        <w:rPr>
          <w:b/>
          <w:bCs/>
        </w:rPr>
      </w:pPr>
      <w:r>
        <w:rPr>
          <w:b/>
          <w:bCs/>
        </w:rPr>
        <w:t>2. §</w:t>
      </w:r>
    </w:p>
    <w:p w14:paraId="41C09265" w14:textId="77777777" w:rsidR="00224B94" w:rsidRDefault="00017177">
      <w:pPr>
        <w:pStyle w:val="Szvegtrzs"/>
        <w:spacing w:after="0" w:line="240" w:lineRule="auto"/>
        <w:jc w:val="both"/>
      </w:pPr>
      <w:r>
        <w:t>A helyi szociális gondoskodásról szóló 1/2024. (I. 30.) önkormányzati rendelet 10. § (2) bekezdése helyébe a következő rendelkezés lép:</w:t>
      </w:r>
    </w:p>
    <w:p w14:paraId="13BD173E" w14:textId="77777777" w:rsidR="00224B94" w:rsidRDefault="00017177">
      <w:pPr>
        <w:pStyle w:val="Szvegtrzs"/>
        <w:spacing w:before="240" w:after="240" w:line="240" w:lineRule="auto"/>
        <w:jc w:val="both"/>
      </w:pPr>
      <w:r>
        <w:t xml:space="preserve">„(2) </w:t>
      </w:r>
      <w:proofErr w:type="spellStart"/>
      <w:r>
        <w:t>Ltt</w:t>
      </w:r>
      <w:proofErr w:type="spellEnd"/>
      <w:r>
        <w:t xml:space="preserve">-re jogosult az a személy, akinek a háztartásában az egy főre jutó havi jövedelem nem haladja meg a szociális vetítési alap összegének </w:t>
      </w:r>
      <w:r>
        <w:rPr>
          <w:b/>
          <w:bCs/>
        </w:rPr>
        <w:t>600%-át (171.000, - Ft),</w:t>
      </w:r>
      <w:r>
        <w:t xml:space="preserve"> egyedülálló esetében a szociális vetítési alap </w:t>
      </w:r>
      <w:r>
        <w:rPr>
          <w:b/>
          <w:bCs/>
        </w:rPr>
        <w:t>800 %- át (</w:t>
      </w:r>
      <w:r>
        <w:t>22</w:t>
      </w:r>
      <w:r>
        <w:rPr>
          <w:b/>
          <w:bCs/>
        </w:rPr>
        <w:t>8.</w:t>
      </w:r>
      <w:r>
        <w:t>00</w:t>
      </w:r>
      <w:r>
        <w:rPr>
          <w:b/>
          <w:bCs/>
        </w:rPr>
        <w:t>0, - Ft)</w:t>
      </w:r>
      <w:r>
        <w:t>.”</w:t>
      </w:r>
    </w:p>
    <w:p w14:paraId="5831643D" w14:textId="77777777" w:rsidR="00224B94" w:rsidRDefault="00017177">
      <w:pPr>
        <w:pStyle w:val="Szvegtrzs"/>
        <w:spacing w:before="240" w:after="240" w:line="240" w:lineRule="auto"/>
        <w:jc w:val="center"/>
        <w:rPr>
          <w:b/>
          <w:bCs/>
        </w:rPr>
      </w:pPr>
      <w:r>
        <w:rPr>
          <w:b/>
          <w:bCs/>
        </w:rPr>
        <w:t>3. §</w:t>
      </w:r>
    </w:p>
    <w:p w14:paraId="79DF5345" w14:textId="77777777" w:rsidR="00224B94" w:rsidRDefault="00017177">
      <w:pPr>
        <w:pStyle w:val="Szvegtrzs"/>
        <w:spacing w:after="0" w:line="240" w:lineRule="auto"/>
        <w:jc w:val="both"/>
      </w:pPr>
      <w:r>
        <w:t>A helyi szociális gondoskodásról szóló 1/2024. (I. 30.) önkormányzati rendelet 12. § (1) és (2) bekezdése helyébe a következő rendelkezések lépnek:</w:t>
      </w:r>
    </w:p>
    <w:p w14:paraId="078A797A" w14:textId="77777777" w:rsidR="00224B94" w:rsidRDefault="00017177">
      <w:pPr>
        <w:pStyle w:val="Szvegtrzs"/>
        <w:spacing w:before="240" w:after="0" w:line="240" w:lineRule="auto"/>
        <w:jc w:val="both"/>
      </w:pPr>
      <w:r>
        <w:t xml:space="preserve">„(1) Rendkívüli települési támogatásban (továbbiakban: Rtt.) kell részesíteni, azokat, akik önmaguk, illetve családjuk létfenntartásáról más módon nem tudnak gondoskodni, vagy alkalmanként jelentkező többletkiadásuk miatt anyagi segítségre szorulnak és családjukban az egy főre eső jövedelem nem haladja meg a szociális vetítési alap összegének </w:t>
      </w:r>
      <w:r>
        <w:rPr>
          <w:b/>
          <w:bCs/>
        </w:rPr>
        <w:t>600%-át (171.000, - Ft)</w:t>
      </w:r>
      <w:r>
        <w:t xml:space="preserve">., egyedülálló esetében a szociális vetítési alap </w:t>
      </w:r>
      <w:r>
        <w:rPr>
          <w:b/>
          <w:bCs/>
        </w:rPr>
        <w:t>800%-át (228.000, - Ft)</w:t>
      </w:r>
      <w:r>
        <w:t>.</w:t>
      </w:r>
    </w:p>
    <w:p w14:paraId="6662F717" w14:textId="77777777" w:rsidR="00224B94" w:rsidRDefault="00017177">
      <w:pPr>
        <w:pStyle w:val="Szvegtrzs"/>
        <w:spacing w:before="240" w:after="240" w:line="240" w:lineRule="auto"/>
        <w:jc w:val="both"/>
      </w:pPr>
      <w:r>
        <w:t>(2) Az Rtt. alkalmanként kerül megállapításra, 5.000 és 100.000.- Ft összeg között.”</w:t>
      </w:r>
    </w:p>
    <w:p w14:paraId="7DAE08EA" w14:textId="77777777" w:rsidR="00224B94" w:rsidRDefault="00017177">
      <w:pPr>
        <w:pStyle w:val="Szvegtrzs"/>
        <w:spacing w:before="240" w:after="240" w:line="240" w:lineRule="auto"/>
        <w:jc w:val="center"/>
        <w:rPr>
          <w:b/>
          <w:bCs/>
        </w:rPr>
      </w:pPr>
      <w:r>
        <w:rPr>
          <w:b/>
          <w:bCs/>
        </w:rPr>
        <w:t>4. §</w:t>
      </w:r>
    </w:p>
    <w:p w14:paraId="1898F7DD" w14:textId="77777777" w:rsidR="00224B94" w:rsidRDefault="00017177">
      <w:pPr>
        <w:pStyle w:val="Szvegtrzs"/>
        <w:spacing w:after="0" w:line="240" w:lineRule="auto"/>
        <w:jc w:val="both"/>
      </w:pPr>
      <w:r>
        <w:t>A helyi szociális gondoskodásról szóló 1/2024. (I. 30.) önkormányzati rendelet 14. § (3) bekezdése helyébe a következő rendelkezés lép:</w:t>
      </w:r>
    </w:p>
    <w:p w14:paraId="3F69A0B1" w14:textId="77777777" w:rsidR="00224B94" w:rsidRDefault="00017177">
      <w:pPr>
        <w:pStyle w:val="Szvegtrzs"/>
        <w:spacing w:before="240" w:after="240" w:line="240" w:lineRule="auto"/>
        <w:jc w:val="both"/>
      </w:pPr>
      <w:r>
        <w:t xml:space="preserve">„(3) Az </w:t>
      </w:r>
      <w:proofErr w:type="spellStart"/>
      <w:r>
        <w:t>Iktt</w:t>
      </w:r>
      <w:proofErr w:type="spellEnd"/>
      <w:r>
        <w:t>. összege maximum 3</w:t>
      </w:r>
      <w:r>
        <w:rPr>
          <w:b/>
          <w:bCs/>
        </w:rPr>
        <w:t>0.000.- Ft,</w:t>
      </w:r>
      <w:r>
        <w:t xml:space="preserve"> melyet a házipénztárból kell kifizetni.”</w:t>
      </w:r>
    </w:p>
    <w:p w14:paraId="5246841C" w14:textId="77777777" w:rsidR="00224B94" w:rsidRDefault="00017177">
      <w:pPr>
        <w:pStyle w:val="Szvegtrzs"/>
        <w:spacing w:before="240" w:after="240" w:line="240" w:lineRule="auto"/>
        <w:jc w:val="center"/>
        <w:rPr>
          <w:b/>
          <w:bCs/>
        </w:rPr>
      </w:pPr>
      <w:r>
        <w:rPr>
          <w:b/>
          <w:bCs/>
        </w:rPr>
        <w:lastRenderedPageBreak/>
        <w:t>5. §</w:t>
      </w:r>
    </w:p>
    <w:p w14:paraId="76470FE5" w14:textId="77777777" w:rsidR="00224B94" w:rsidRDefault="00017177">
      <w:pPr>
        <w:pStyle w:val="Szvegtrzs"/>
        <w:spacing w:after="0" w:line="240" w:lineRule="auto"/>
        <w:jc w:val="both"/>
      </w:pPr>
      <w:r>
        <w:t>A helyi szociális gondoskodásról szóló 1/2024. (I. 30.) önkormányzati rendelet „Karácsonyi települési támogatás” alcím címe helyébe a következő rendelkezés lép:</w:t>
      </w:r>
    </w:p>
    <w:p w14:paraId="1F39A959" w14:textId="77777777" w:rsidR="00224B94" w:rsidRDefault="00017177">
      <w:pPr>
        <w:pStyle w:val="Szvegtrzs"/>
        <w:spacing w:before="240" w:after="240" w:line="240" w:lineRule="auto"/>
        <w:jc w:val="center"/>
        <w:rPr>
          <w:b/>
          <w:bCs/>
        </w:rPr>
      </w:pPr>
      <w:r>
        <w:rPr>
          <w:b/>
          <w:bCs/>
        </w:rPr>
        <w:t>„Ünnepi települési támogatás”</w:t>
      </w:r>
    </w:p>
    <w:p w14:paraId="02227734" w14:textId="77777777" w:rsidR="00224B94" w:rsidRDefault="00017177">
      <w:pPr>
        <w:pStyle w:val="Szvegtrzs"/>
        <w:spacing w:before="240" w:after="240" w:line="240" w:lineRule="auto"/>
        <w:jc w:val="center"/>
        <w:rPr>
          <w:b/>
          <w:bCs/>
        </w:rPr>
      </w:pPr>
      <w:r>
        <w:rPr>
          <w:b/>
          <w:bCs/>
        </w:rPr>
        <w:t>6. §</w:t>
      </w:r>
    </w:p>
    <w:p w14:paraId="7F43BE62" w14:textId="77777777" w:rsidR="00224B94" w:rsidRDefault="00017177">
      <w:pPr>
        <w:pStyle w:val="Szvegtrzs"/>
        <w:spacing w:after="0" w:line="240" w:lineRule="auto"/>
        <w:jc w:val="both"/>
      </w:pPr>
      <w:r>
        <w:t>A helyi szociális gondoskodásról szóló 1/2024. (I. 30.) önkormányzati rendelet 15. § (1) és (2) bekezdése helyébe a következő rendelkezések lépnek:</w:t>
      </w:r>
    </w:p>
    <w:p w14:paraId="64EBB428" w14:textId="77777777" w:rsidR="00224B94" w:rsidRDefault="00017177">
      <w:pPr>
        <w:pStyle w:val="Szvegtrzs"/>
        <w:spacing w:before="240" w:after="0" w:line="240" w:lineRule="auto"/>
        <w:jc w:val="both"/>
      </w:pPr>
      <w:r>
        <w:t xml:space="preserve">„(1) Ünnepi települési támogatásban (továbbiakban: </w:t>
      </w:r>
      <w:proofErr w:type="spellStart"/>
      <w:r>
        <w:t>Ütt</w:t>
      </w:r>
      <w:proofErr w:type="spellEnd"/>
      <w:r>
        <w:t xml:space="preserve">.) részesíthetők – Bodolyabér község családtámogatási rendszerének keretében, tekintettel a karácsonyi ünnepekkel kapcsolatban felmerülő jelentős, a családokat megterhelő költségeire – kérelemre (6. melléklet), a településen állandó lakcímmel rendelkező és életvitelszerűen a településen élő családok, akiknél az egy főre eső jövedelme nem haladja meg a szociális vetítési alap összegének </w:t>
      </w:r>
      <w:r>
        <w:rPr>
          <w:b/>
          <w:bCs/>
        </w:rPr>
        <w:t>1000%-át (285.000, - Ft.)</w:t>
      </w:r>
    </w:p>
    <w:p w14:paraId="416B4B5B" w14:textId="77777777" w:rsidR="00224B94" w:rsidRDefault="00017177">
      <w:pPr>
        <w:pStyle w:val="Szvegtrzs"/>
        <w:spacing w:before="240" w:after="240" w:line="240" w:lineRule="auto"/>
        <w:jc w:val="both"/>
      </w:pPr>
      <w:r>
        <w:t>(2) A támogatás összege családonként maximum 10</w:t>
      </w:r>
      <w:r>
        <w:rPr>
          <w:b/>
          <w:bCs/>
        </w:rPr>
        <w:t>0.000 Ft</w:t>
      </w:r>
      <w:r>
        <w:t>, mely adható természetben, vagy pénzbeli juttatásként.”</w:t>
      </w:r>
    </w:p>
    <w:p w14:paraId="4C36C051" w14:textId="77777777" w:rsidR="00224B94" w:rsidRDefault="00017177">
      <w:pPr>
        <w:pStyle w:val="Szvegtrzs"/>
        <w:spacing w:before="240" w:after="240" w:line="240" w:lineRule="auto"/>
        <w:jc w:val="center"/>
        <w:rPr>
          <w:b/>
          <w:bCs/>
        </w:rPr>
      </w:pPr>
      <w:r>
        <w:rPr>
          <w:b/>
          <w:bCs/>
        </w:rPr>
        <w:t>7. §</w:t>
      </w:r>
    </w:p>
    <w:p w14:paraId="6B7CD098" w14:textId="77777777" w:rsidR="00224B94" w:rsidRDefault="00017177">
      <w:pPr>
        <w:pStyle w:val="Szvegtrzs"/>
        <w:spacing w:after="0" w:line="240" w:lineRule="auto"/>
        <w:jc w:val="both"/>
      </w:pPr>
      <w:r>
        <w:t>A helyi szociális gondoskodásról szóló 1/2024. (I. 30.) önkormányzati rendelet 16. § (2) bekezdése helyébe a következő rendelkezés lép:</w:t>
      </w:r>
    </w:p>
    <w:p w14:paraId="2E5B4A03" w14:textId="77777777" w:rsidR="00224B94" w:rsidRDefault="00017177">
      <w:pPr>
        <w:pStyle w:val="Szvegtrzs"/>
        <w:spacing w:before="240" w:after="240" w:line="240" w:lineRule="auto"/>
        <w:jc w:val="both"/>
      </w:pPr>
      <w:r>
        <w:t xml:space="preserve">„(2) A támogatás összege </w:t>
      </w:r>
      <w:r>
        <w:rPr>
          <w:b/>
          <w:bCs/>
        </w:rPr>
        <w:t xml:space="preserve">családonként </w:t>
      </w:r>
      <w:r>
        <w:t>maximum 5</w:t>
      </w:r>
      <w:r>
        <w:rPr>
          <w:b/>
          <w:bCs/>
        </w:rPr>
        <w:t>0.000</w:t>
      </w:r>
      <w:r>
        <w:t>, - Ft.”</w:t>
      </w:r>
    </w:p>
    <w:p w14:paraId="7D81D829" w14:textId="77777777" w:rsidR="00AE3532" w:rsidRDefault="00AE3532" w:rsidP="00AE3532">
      <w:pPr>
        <w:pStyle w:val="Szvegtrzs"/>
        <w:spacing w:before="240" w:after="240" w:line="240" w:lineRule="auto"/>
        <w:jc w:val="center"/>
        <w:rPr>
          <w:b/>
          <w:bCs/>
        </w:rPr>
      </w:pPr>
      <w:r>
        <w:rPr>
          <w:b/>
          <w:bCs/>
        </w:rPr>
        <w:t>8. §</w:t>
      </w:r>
    </w:p>
    <w:p w14:paraId="794E997F" w14:textId="77777777" w:rsidR="00AE3532" w:rsidRDefault="00AE3532" w:rsidP="00AE3532">
      <w:pPr>
        <w:pStyle w:val="Szvegtrzs"/>
        <w:spacing w:after="0" w:line="240" w:lineRule="auto"/>
        <w:jc w:val="both"/>
      </w:pPr>
      <w:r>
        <w:t>(1) A helyi szociális gondoskodásról szóló 1/2024. (I. 30.) önkormányzati rendelet 21. § (6) bekezdése helyébe a következő rendelkezés lép:</w:t>
      </w:r>
    </w:p>
    <w:p w14:paraId="5763A009" w14:textId="77777777" w:rsidR="00AE3532" w:rsidRDefault="00AE3532" w:rsidP="00AE3532">
      <w:pPr>
        <w:pStyle w:val="Szvegtrzs"/>
        <w:spacing w:before="240" w:after="240" w:line="240" w:lineRule="auto"/>
        <w:jc w:val="both"/>
      </w:pPr>
      <w:r>
        <w:t>„(6) A Szolgáltató által nyújtott szociális étkeztetés intézményi térítési díja bruttó 1230.-Ft/nap.”</w:t>
      </w:r>
    </w:p>
    <w:p w14:paraId="23FF5FB3" w14:textId="77777777" w:rsidR="00AE3532" w:rsidRDefault="00AE3532" w:rsidP="00AE3532">
      <w:pPr>
        <w:pStyle w:val="Szvegtrzs"/>
        <w:spacing w:before="240" w:after="0" w:line="240" w:lineRule="auto"/>
        <w:jc w:val="both"/>
      </w:pPr>
      <w:r>
        <w:t>(2) A helyi szociális gondoskodásról szóló 1/2024. (I. 30.) önkormányzati rendelet 21. § (7) bekezdés a)–e) pontja helyébe a következő rendelkezések lépnek:</w:t>
      </w:r>
    </w:p>
    <w:p w14:paraId="1707151F" w14:textId="77777777" w:rsidR="00AE3532" w:rsidRDefault="00AE3532" w:rsidP="00AE3532">
      <w:pPr>
        <w:pStyle w:val="Szvegtrzs"/>
        <w:spacing w:before="240" w:after="0" w:line="240" w:lineRule="auto"/>
        <w:jc w:val="both"/>
        <w:rPr>
          <w:i/>
          <w:iCs/>
        </w:rPr>
      </w:pPr>
      <w:r>
        <w:rPr>
          <w:i/>
          <w:iCs/>
        </w:rPr>
        <w:t>(A Ligeti Mikrotérségi Önkormányzati és Óvodai Társulás, mint szolgáltató által nyújtott szociális étkeztetés személyi térítési díja:)</w:t>
      </w:r>
    </w:p>
    <w:p w14:paraId="05C1F77E" w14:textId="77777777" w:rsidR="00AE3532" w:rsidRDefault="00AE3532" w:rsidP="00AE3532">
      <w:pPr>
        <w:pStyle w:val="Szvegtrzs"/>
        <w:spacing w:after="0" w:line="240" w:lineRule="auto"/>
        <w:ind w:left="580" w:hanging="560"/>
        <w:jc w:val="both"/>
      </w:pPr>
      <w:r>
        <w:t>„</w:t>
      </w:r>
      <w:r>
        <w:rPr>
          <w:i/>
          <w:iCs/>
        </w:rPr>
        <w:t>a)</w:t>
      </w:r>
      <w:r>
        <w:tab/>
        <w:t xml:space="preserve">amennyiben az </w:t>
      </w:r>
      <w:proofErr w:type="spellStart"/>
      <w:r>
        <w:t>igénybevevő</w:t>
      </w:r>
      <w:proofErr w:type="spellEnd"/>
      <w:r>
        <w:t xml:space="preserve"> havi jövedelme nem haladja meg a szociális vetítési alap</w:t>
      </w:r>
      <w:r>
        <w:rPr>
          <w:b/>
          <w:bCs/>
        </w:rPr>
        <w:t xml:space="preserve"> 322 %-át, úgy a jövedelme 30 %-</w:t>
      </w:r>
      <w:proofErr w:type="spellStart"/>
      <w:r>
        <w:rPr>
          <w:b/>
          <w:bCs/>
        </w:rPr>
        <w:t>ának</w:t>
      </w:r>
      <w:proofErr w:type="spellEnd"/>
      <w:r>
        <w:rPr>
          <w:b/>
          <w:bCs/>
        </w:rPr>
        <w:t xml:space="preserve"> a harmincadrésze a napi térítési díj,</w:t>
      </w:r>
    </w:p>
    <w:p w14:paraId="7D405D35" w14:textId="77777777" w:rsidR="00AE3532" w:rsidRDefault="00AE3532" w:rsidP="00AE3532">
      <w:pPr>
        <w:pStyle w:val="Szvegtrzs"/>
        <w:spacing w:after="0" w:line="240" w:lineRule="auto"/>
        <w:ind w:left="580" w:hanging="560"/>
        <w:jc w:val="both"/>
      </w:pPr>
      <w:r>
        <w:rPr>
          <w:i/>
          <w:iCs/>
        </w:rPr>
        <w:t>b)</w:t>
      </w:r>
      <w:r>
        <w:tab/>
        <w:t xml:space="preserve">amennyiben az </w:t>
      </w:r>
      <w:proofErr w:type="spellStart"/>
      <w:r>
        <w:t>igénybevevő</w:t>
      </w:r>
      <w:proofErr w:type="spellEnd"/>
      <w:r>
        <w:t xml:space="preserve"> havi jövedelme a szociális vetítési alap </w:t>
      </w:r>
      <w:r>
        <w:rPr>
          <w:b/>
          <w:bCs/>
        </w:rPr>
        <w:t>322,1% és 385 %-a között van, úgy napi bruttó 915</w:t>
      </w:r>
      <w:r>
        <w:t>,</w:t>
      </w:r>
      <w:r>
        <w:rPr>
          <w:b/>
          <w:bCs/>
        </w:rPr>
        <w:t>-</w:t>
      </w:r>
      <w:r>
        <w:t xml:space="preserve"> </w:t>
      </w:r>
      <w:r>
        <w:rPr>
          <w:b/>
          <w:bCs/>
        </w:rPr>
        <w:t>Ft/nap,</w:t>
      </w:r>
    </w:p>
    <w:p w14:paraId="2944C28D" w14:textId="77777777" w:rsidR="00AE3532" w:rsidRDefault="00AE3532" w:rsidP="00AE3532">
      <w:pPr>
        <w:pStyle w:val="Szvegtrzs"/>
        <w:spacing w:after="0" w:line="240" w:lineRule="auto"/>
        <w:ind w:left="580" w:hanging="560"/>
        <w:jc w:val="both"/>
      </w:pPr>
      <w:r>
        <w:rPr>
          <w:i/>
          <w:iCs/>
        </w:rPr>
        <w:t>c)</w:t>
      </w:r>
      <w:r>
        <w:tab/>
        <w:t xml:space="preserve">amennyiben az </w:t>
      </w:r>
      <w:proofErr w:type="spellStart"/>
      <w:r>
        <w:t>igénybevevő</w:t>
      </w:r>
      <w:proofErr w:type="spellEnd"/>
      <w:r>
        <w:t xml:space="preserve"> havi jövedelme a szociális vetítési alap </w:t>
      </w:r>
      <w:r>
        <w:rPr>
          <w:b/>
          <w:bCs/>
        </w:rPr>
        <w:t>385,1 % és 485%-a között van, úgy napi bruttó 1010</w:t>
      </w:r>
      <w:r>
        <w:t>,</w:t>
      </w:r>
      <w:r>
        <w:rPr>
          <w:b/>
          <w:bCs/>
        </w:rPr>
        <w:t>-</w:t>
      </w:r>
      <w:r>
        <w:t xml:space="preserve"> </w:t>
      </w:r>
      <w:r>
        <w:rPr>
          <w:b/>
          <w:bCs/>
        </w:rPr>
        <w:t>Ft/nap,</w:t>
      </w:r>
    </w:p>
    <w:p w14:paraId="4DE85E48" w14:textId="77777777" w:rsidR="00AE3532" w:rsidRDefault="00AE3532" w:rsidP="00AE3532">
      <w:pPr>
        <w:pStyle w:val="Szvegtrzs"/>
        <w:spacing w:after="0" w:line="240" w:lineRule="auto"/>
        <w:ind w:left="580" w:hanging="560"/>
        <w:jc w:val="both"/>
      </w:pPr>
      <w:r>
        <w:rPr>
          <w:i/>
          <w:iCs/>
        </w:rPr>
        <w:t>d)</w:t>
      </w:r>
      <w:r>
        <w:tab/>
        <w:t xml:space="preserve">amennyiben az </w:t>
      </w:r>
      <w:proofErr w:type="spellStart"/>
      <w:r>
        <w:t>igénybevevő</w:t>
      </w:r>
      <w:proofErr w:type="spellEnd"/>
      <w:r>
        <w:t xml:space="preserve"> havi jövedelme a szociális vetítési alap </w:t>
      </w:r>
      <w:r>
        <w:rPr>
          <w:b/>
          <w:bCs/>
        </w:rPr>
        <w:t>485,1 % és 585%-a között van, úgy napi bruttó 1135,- Ft/nap,</w:t>
      </w:r>
    </w:p>
    <w:p w14:paraId="6675DFCC" w14:textId="77777777" w:rsidR="00AE3532" w:rsidRDefault="00AE3532" w:rsidP="00AE3532">
      <w:pPr>
        <w:pStyle w:val="Szvegtrzs"/>
        <w:spacing w:after="240" w:line="240" w:lineRule="auto"/>
        <w:ind w:left="580" w:hanging="560"/>
        <w:jc w:val="both"/>
      </w:pPr>
      <w:r>
        <w:rPr>
          <w:i/>
          <w:iCs/>
        </w:rPr>
        <w:t>e)</w:t>
      </w:r>
      <w:r>
        <w:tab/>
        <w:t xml:space="preserve">amennyiben az </w:t>
      </w:r>
      <w:proofErr w:type="spellStart"/>
      <w:r>
        <w:t>igénybevevő</w:t>
      </w:r>
      <w:proofErr w:type="spellEnd"/>
      <w:r>
        <w:t xml:space="preserve"> havi jövedelme a szociális vetítési alap </w:t>
      </w:r>
      <w:r>
        <w:rPr>
          <w:b/>
          <w:bCs/>
        </w:rPr>
        <w:t>585,1 %-a fölött van, úgy napi bruttó 1</w:t>
      </w:r>
      <w:r>
        <w:t>23</w:t>
      </w:r>
      <w:r>
        <w:rPr>
          <w:b/>
          <w:bCs/>
        </w:rPr>
        <w:t>0.-Ft/nap</w:t>
      </w:r>
      <w:r>
        <w:t>”</w:t>
      </w:r>
    </w:p>
    <w:p w14:paraId="5799E9C3" w14:textId="77777777" w:rsidR="00224B94" w:rsidRDefault="00017177">
      <w:pPr>
        <w:pStyle w:val="Szvegtrzs"/>
        <w:spacing w:before="240" w:after="240" w:line="240" w:lineRule="auto"/>
        <w:jc w:val="center"/>
        <w:rPr>
          <w:b/>
          <w:bCs/>
        </w:rPr>
      </w:pPr>
      <w:r>
        <w:rPr>
          <w:b/>
          <w:bCs/>
        </w:rPr>
        <w:t>9. §</w:t>
      </w:r>
    </w:p>
    <w:p w14:paraId="46A9D4AD" w14:textId="77777777" w:rsidR="00224B94" w:rsidRDefault="00017177">
      <w:pPr>
        <w:pStyle w:val="Szvegtrzs"/>
        <w:spacing w:after="0" w:line="240" w:lineRule="auto"/>
        <w:jc w:val="both"/>
      </w:pPr>
      <w:r>
        <w:lastRenderedPageBreak/>
        <w:t>Hatályát veszti a helyi szociális gondoskodásról szóló 1/2024. (I. 30.) önkormányzati rendelet</w:t>
      </w:r>
    </w:p>
    <w:p w14:paraId="7C50CDD5" w14:textId="77777777" w:rsidR="00224B94" w:rsidRDefault="00017177">
      <w:pPr>
        <w:pStyle w:val="Szvegtrzs"/>
        <w:spacing w:after="0" w:line="240" w:lineRule="auto"/>
        <w:ind w:left="580" w:hanging="560"/>
        <w:jc w:val="both"/>
      </w:pPr>
      <w:r>
        <w:rPr>
          <w:i/>
          <w:iCs/>
        </w:rPr>
        <w:t>a)</w:t>
      </w:r>
      <w:r>
        <w:tab/>
        <w:t>10. § (3) bekezdése,</w:t>
      </w:r>
    </w:p>
    <w:p w14:paraId="42F54E2E" w14:textId="77777777" w:rsidR="00224B94" w:rsidRDefault="00017177">
      <w:pPr>
        <w:pStyle w:val="Szvegtrzs"/>
        <w:spacing w:after="0" w:line="240" w:lineRule="auto"/>
        <w:ind w:left="580" w:hanging="560"/>
        <w:jc w:val="both"/>
      </w:pPr>
      <w:r>
        <w:rPr>
          <w:i/>
          <w:iCs/>
        </w:rPr>
        <w:t>b)</w:t>
      </w:r>
      <w:r>
        <w:tab/>
        <w:t>12. § (3) bekezdése,</w:t>
      </w:r>
    </w:p>
    <w:p w14:paraId="57C50078" w14:textId="77777777" w:rsidR="00224B94" w:rsidRDefault="00017177">
      <w:pPr>
        <w:pStyle w:val="Szvegtrzs"/>
        <w:spacing w:after="0" w:line="240" w:lineRule="auto"/>
        <w:ind w:left="580" w:hanging="560"/>
        <w:jc w:val="both"/>
      </w:pPr>
      <w:r>
        <w:rPr>
          <w:i/>
          <w:iCs/>
        </w:rPr>
        <w:t>c)</w:t>
      </w:r>
      <w:r>
        <w:tab/>
        <w:t>15. § (4) bekezdése.</w:t>
      </w:r>
    </w:p>
    <w:p w14:paraId="3BAFD98E" w14:textId="77777777" w:rsidR="00224B94" w:rsidRDefault="00017177">
      <w:pPr>
        <w:pStyle w:val="Szvegtrzs"/>
        <w:spacing w:before="240" w:after="240" w:line="240" w:lineRule="auto"/>
        <w:jc w:val="center"/>
        <w:rPr>
          <w:b/>
          <w:bCs/>
        </w:rPr>
      </w:pPr>
      <w:r>
        <w:rPr>
          <w:b/>
          <w:bCs/>
        </w:rPr>
        <w:t>10. §</w:t>
      </w:r>
    </w:p>
    <w:p w14:paraId="6439EDE2" w14:textId="77777777" w:rsidR="00224B94" w:rsidRDefault="00017177">
      <w:pPr>
        <w:pStyle w:val="Szvegtrzs"/>
        <w:spacing w:after="0" w:line="240" w:lineRule="auto"/>
        <w:jc w:val="both"/>
        <w:sectPr w:rsidR="00224B94">
          <w:footerReference w:type="default" r:id="rId7"/>
          <w:pgSz w:w="11906" w:h="16838"/>
          <w:pgMar w:top="1134" w:right="1134" w:bottom="1693" w:left="1134" w:header="0" w:footer="1134" w:gutter="0"/>
          <w:cols w:space="708"/>
          <w:formProt w:val="0"/>
          <w:docGrid w:linePitch="600" w:charSpace="32768"/>
        </w:sectPr>
      </w:pPr>
      <w:r>
        <w:t>Ez a rendelet 2025. március 1-jén lép hatályba.</w:t>
      </w:r>
    </w:p>
    <w:p w14:paraId="1D67D404" w14:textId="77777777" w:rsidR="00224B94" w:rsidRDefault="00224B94">
      <w:pPr>
        <w:pStyle w:val="Szvegtrzs"/>
        <w:spacing w:after="0"/>
        <w:jc w:val="center"/>
      </w:pPr>
    </w:p>
    <w:p w14:paraId="333D59EC" w14:textId="77777777" w:rsidR="00224B94" w:rsidRDefault="00017177">
      <w:pPr>
        <w:pStyle w:val="Szvegtrzs"/>
        <w:spacing w:after="159" w:line="240" w:lineRule="auto"/>
        <w:ind w:left="159" w:right="159"/>
        <w:jc w:val="center"/>
      </w:pPr>
      <w:r>
        <w:t>Végső előterjesztői indokolás</w:t>
      </w:r>
    </w:p>
    <w:p w14:paraId="53AF7C9D" w14:textId="77777777" w:rsidR="00224B94" w:rsidRDefault="00017177">
      <w:pPr>
        <w:pStyle w:val="Szvegtrzs"/>
        <w:spacing w:before="159" w:after="159" w:line="240" w:lineRule="auto"/>
        <w:ind w:left="159" w:right="159"/>
        <w:jc w:val="both"/>
      </w:pPr>
      <w:r>
        <w:t>A rendelet bevezetését követően, annak az alkalmazása során kiderült, hogy a rendelet felülvizsgálata, pontosítása, módosítása szükséges. Az elkészült rendelet-tervezet a felülvizsgálat során felfedezett hiányosságok rendezését tartalmazza.</w:t>
      </w:r>
    </w:p>
    <w:sectPr w:rsidR="00224B94">
      <w:footerReference w:type="default" r:id="rId8"/>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A51B4" w14:textId="77777777" w:rsidR="00017177" w:rsidRDefault="00017177">
      <w:r>
        <w:separator/>
      </w:r>
    </w:p>
  </w:endnote>
  <w:endnote w:type="continuationSeparator" w:id="0">
    <w:p w14:paraId="14DE01F0" w14:textId="77777777" w:rsidR="00017177" w:rsidRDefault="0001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1"/>
    <w:family w:val="roman"/>
    <w:pitch w:val="variable"/>
    <w:sig w:usb0="E0000AFF" w:usb1="500078FF" w:usb2="00000021" w:usb3="00000000" w:csb0="000001B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6DD2" w14:textId="77777777" w:rsidR="00224B94" w:rsidRDefault="00017177">
    <w:pPr>
      <w:pStyle w:val="llb"/>
      <w:jc w:val="center"/>
    </w:pPr>
    <w:r>
      <w:fldChar w:fldCharType="begin"/>
    </w:r>
    <w:r>
      <w:instrText>PAGE</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9198" w14:textId="77777777" w:rsidR="00224B94" w:rsidRDefault="00017177">
    <w:pPr>
      <w:pStyle w:val="llb"/>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95895" w14:textId="77777777" w:rsidR="00017177" w:rsidRDefault="00017177">
      <w:r>
        <w:separator/>
      </w:r>
    </w:p>
  </w:footnote>
  <w:footnote w:type="continuationSeparator" w:id="0">
    <w:p w14:paraId="3442061D" w14:textId="77777777" w:rsidR="00017177" w:rsidRDefault="0001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26F58"/>
    <w:multiLevelType w:val="multilevel"/>
    <w:tmpl w:val="C75E18A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1198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4"/>
    <w:rsid w:val="00017177"/>
    <w:rsid w:val="00224B94"/>
    <w:rsid w:val="003149BE"/>
    <w:rsid w:val="00865D9A"/>
    <w:rsid w:val="00AE35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5E36"/>
  <w15:docId w15:val="{366DBE95-2B8F-45F5-9AAE-AC33A049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4404</Characters>
  <Application>Microsoft Office Word</Application>
  <DocSecurity>0</DocSecurity>
  <Lines>36</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Pintér-Ábel Nikoletta Igazgatás</cp:lastModifiedBy>
  <cp:revision>3</cp:revision>
  <dcterms:created xsi:type="dcterms:W3CDTF">2025-01-27T09:41:00Z</dcterms:created>
  <dcterms:modified xsi:type="dcterms:W3CDTF">2025-02-13T09:28:00Z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